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C0BB4" w14:textId="77777777" w:rsidR="00050B14" w:rsidRDefault="00050B14" w:rsidP="00050B14">
      <w:pPr>
        <w:jc w:val="center"/>
      </w:pPr>
    </w:p>
    <w:p w14:paraId="3379B6E2" w14:textId="77777777" w:rsidR="00050B14" w:rsidRDefault="00050B14" w:rsidP="00050B14">
      <w:pPr>
        <w:jc w:val="center"/>
      </w:pPr>
    </w:p>
    <w:p w14:paraId="5F69C24F" w14:textId="77777777" w:rsidR="00050B14" w:rsidRDefault="00050B14" w:rsidP="00050B14">
      <w:pPr>
        <w:jc w:val="center"/>
      </w:pPr>
    </w:p>
    <w:p w14:paraId="7750321A" w14:textId="77777777" w:rsidR="00050B14" w:rsidRDefault="00050B14" w:rsidP="00050B14">
      <w:pPr>
        <w:jc w:val="center"/>
      </w:pPr>
    </w:p>
    <w:p w14:paraId="5A9F14BE" w14:textId="77777777" w:rsidR="00050B14" w:rsidRDefault="00050B14" w:rsidP="00050B14">
      <w:pPr>
        <w:jc w:val="center"/>
      </w:pPr>
    </w:p>
    <w:p w14:paraId="23EB9C42" w14:textId="77777777" w:rsidR="00050B14" w:rsidRDefault="00050B14" w:rsidP="00050B14">
      <w:pPr>
        <w:jc w:val="center"/>
      </w:pPr>
    </w:p>
    <w:p w14:paraId="20D664A6" w14:textId="77777777" w:rsidR="00050B14" w:rsidRDefault="00050B14" w:rsidP="00050B14">
      <w:pPr>
        <w:jc w:val="center"/>
      </w:pPr>
    </w:p>
    <w:p w14:paraId="5BDFF185" w14:textId="77777777" w:rsidR="00050B14" w:rsidRDefault="00050B14" w:rsidP="00050B14">
      <w:pPr>
        <w:jc w:val="center"/>
      </w:pPr>
    </w:p>
    <w:p w14:paraId="3B72B0D7" w14:textId="77777777" w:rsidR="009779B8" w:rsidRDefault="00363836" w:rsidP="00050B14">
      <w:pPr>
        <w:jc w:val="center"/>
      </w:pPr>
      <w:r>
        <w:t>Translating Evidence into Clinical Practice</w:t>
      </w:r>
    </w:p>
    <w:p w14:paraId="39F70A1D" w14:textId="77777777" w:rsidR="006D4285" w:rsidRDefault="00363836" w:rsidP="00050B14">
      <w:pPr>
        <w:jc w:val="center"/>
      </w:pPr>
      <w:r>
        <w:t>Name</w:t>
      </w:r>
    </w:p>
    <w:p w14:paraId="554BC47D" w14:textId="26629287" w:rsidR="006D4285" w:rsidRDefault="00363836" w:rsidP="00050B14">
      <w:pPr>
        <w:jc w:val="center"/>
      </w:pPr>
      <w:r>
        <w:t>Institution of Affiliation</w:t>
      </w:r>
    </w:p>
    <w:p w14:paraId="39416484" w14:textId="77777777" w:rsidR="00050B14" w:rsidRDefault="00050B14" w:rsidP="006D4285"/>
    <w:p w14:paraId="1CB9F6B2" w14:textId="77777777" w:rsidR="00050B14" w:rsidRDefault="00050B14" w:rsidP="006D4285"/>
    <w:p w14:paraId="2539BCDE" w14:textId="77777777" w:rsidR="00050B14" w:rsidRDefault="00050B14" w:rsidP="006D4285"/>
    <w:p w14:paraId="330F5EF3" w14:textId="77777777" w:rsidR="00050B14" w:rsidRDefault="00050B14" w:rsidP="006D4285"/>
    <w:p w14:paraId="6FBA62FF" w14:textId="77777777" w:rsidR="00050B14" w:rsidRDefault="00050B14" w:rsidP="006D4285"/>
    <w:p w14:paraId="5C74BEDB" w14:textId="77777777" w:rsidR="00050B14" w:rsidRDefault="00050B14" w:rsidP="006D4285"/>
    <w:p w14:paraId="05CAB8E5" w14:textId="77777777" w:rsidR="00050B14" w:rsidRDefault="00050B14" w:rsidP="006D4285"/>
    <w:p w14:paraId="4D23DACB" w14:textId="77777777" w:rsidR="00050B14" w:rsidRDefault="00050B14" w:rsidP="006D4285"/>
    <w:p w14:paraId="738D8106" w14:textId="77777777" w:rsidR="00050B14" w:rsidRDefault="00050B14" w:rsidP="006D4285"/>
    <w:p w14:paraId="169BB6DF" w14:textId="77777777" w:rsidR="00050B14" w:rsidRDefault="00050B14" w:rsidP="006D4285"/>
    <w:p w14:paraId="6EC34DDE" w14:textId="77777777" w:rsidR="00050B14" w:rsidRDefault="00050B14" w:rsidP="006D4285"/>
    <w:p w14:paraId="558F3B14" w14:textId="77777777" w:rsidR="00050B14" w:rsidRDefault="00050B14" w:rsidP="006D4285"/>
    <w:p w14:paraId="56BDD3F6" w14:textId="77777777" w:rsidR="006D4285" w:rsidRDefault="00363836" w:rsidP="00050B14">
      <w:pPr>
        <w:jc w:val="center"/>
      </w:pPr>
      <w:r>
        <w:lastRenderedPageBreak/>
        <w:t>Translating Evidence into Clinical Practice</w:t>
      </w:r>
    </w:p>
    <w:p w14:paraId="4B797B6E" w14:textId="77777777" w:rsidR="006D4285" w:rsidRDefault="00363836" w:rsidP="00050B14">
      <w:pPr>
        <w:ind w:firstLine="720"/>
      </w:pPr>
      <w:r>
        <w:t xml:space="preserve">The use of antibiotics has sparked a lot of debate as to whether there is a need to have evidence that warrants its use on a patient </w:t>
      </w:r>
      <w:r>
        <w:t>or not. Many healthcare providers agree that there is the need to have evidence that would support the administration of antibiotics on a patient. Whether clinical or not, antibiotics use should have an indication for them to be used on a patient</w:t>
      </w:r>
      <w:r w:rsidR="007B00A9">
        <w:t xml:space="preserve"> (</w:t>
      </w:r>
      <w:r w:rsidR="00DA2D72">
        <w:rPr>
          <w:rFonts w:eastAsia="Times New Roman"/>
        </w:rPr>
        <w:t xml:space="preserve">Dang &amp; Dearholt, </w:t>
      </w:r>
      <w:r w:rsidR="007B00A9" w:rsidRPr="007B00A9">
        <w:rPr>
          <w:rFonts w:eastAsia="Times New Roman"/>
        </w:rPr>
        <w:t>2017)</w:t>
      </w:r>
      <w:r>
        <w:t>. Even as a nurse practitioner, one should have evidence that supports the administration of antibiotics as part of evidence-based practice in healthcare provision. As healthcare providers, it is important to have evidence when carrying</w:t>
      </w:r>
      <w:r>
        <w:t xml:space="preserve"> out a procedure like antibiotics administration so that we reduce the burden associated with antibiotic resistance on patients.</w:t>
      </w:r>
    </w:p>
    <w:p w14:paraId="26B70596" w14:textId="77777777" w:rsidR="006D4285" w:rsidRPr="00050B14" w:rsidRDefault="00363836" w:rsidP="00050B14">
      <w:pPr>
        <w:jc w:val="center"/>
        <w:rPr>
          <w:b/>
        </w:rPr>
      </w:pPr>
      <w:r w:rsidRPr="00050B14">
        <w:rPr>
          <w:b/>
        </w:rPr>
        <w:t>Evidence-Based Practice Benefits</w:t>
      </w:r>
    </w:p>
    <w:p w14:paraId="565E07A9" w14:textId="77777777" w:rsidR="006D4285" w:rsidRDefault="00363836" w:rsidP="003965C0">
      <w:pPr>
        <w:ind w:firstLine="720"/>
      </w:pPr>
      <w:r>
        <w:t xml:space="preserve">One of the benefits of practicing evidence-based healthcare is that one is able to achieve </w:t>
      </w:r>
      <w:r>
        <w:t>the highest quality of service and hence better outcomes. When one investigates the type of microorganisms that are causing infection on a patient, the right drugs</w:t>
      </w:r>
      <w:r w:rsidR="003965C0">
        <w:t xml:space="preserve"> are used in the eradication of the infection</w:t>
      </w:r>
      <w:r w:rsidR="00DA2D72">
        <w:t xml:space="preserve"> (</w:t>
      </w:r>
      <w:r w:rsidR="00DA2D72">
        <w:rPr>
          <w:rFonts w:eastAsia="Times New Roman"/>
        </w:rPr>
        <w:t xml:space="preserve">White, Dudley-Brown &amp; Terhaar, </w:t>
      </w:r>
      <w:r w:rsidR="00DA2D72" w:rsidRPr="007B00A9">
        <w:rPr>
          <w:rFonts w:eastAsia="Times New Roman"/>
        </w:rPr>
        <w:t>2016)</w:t>
      </w:r>
      <w:r w:rsidR="003965C0">
        <w:t xml:space="preserve">. This leads to a high-quality service as precision and better outcomes are achieved since the drug is specific for that particular infection. Even the time of hospital stay is not prolonged as in the case where the nurse is giving empirical treatment for the infection. </w:t>
      </w:r>
    </w:p>
    <w:p w14:paraId="59B5D095" w14:textId="77777777" w:rsidR="001009DF" w:rsidRDefault="00363836" w:rsidP="003965C0">
      <w:pPr>
        <w:ind w:firstLine="720"/>
      </w:pPr>
      <w:r>
        <w:t xml:space="preserve">Evidence-based practice reduces the health care costs that a patient has to incur while seeking treatment. </w:t>
      </w:r>
      <w:r w:rsidR="00DA2D72">
        <w:t xml:space="preserve">According to </w:t>
      </w:r>
      <w:r w:rsidR="00DA2D72">
        <w:rPr>
          <w:rFonts w:eastAsia="Times New Roman"/>
        </w:rPr>
        <w:t xml:space="preserve">Brownson, Baker, Deshpande, and Gillespie </w:t>
      </w:r>
      <w:r w:rsidR="00DA2D72" w:rsidRPr="007B00A9">
        <w:rPr>
          <w:rFonts w:eastAsia="Times New Roman"/>
        </w:rPr>
        <w:t>(2017)</w:t>
      </w:r>
      <w:r w:rsidR="00DA2D72">
        <w:rPr>
          <w:rFonts w:eastAsia="Times New Roman"/>
        </w:rPr>
        <w:t>,</w:t>
      </w:r>
      <w:r w:rsidR="00DA2D72">
        <w:t xml:space="preserve"> w</w:t>
      </w:r>
      <w:r>
        <w:t>hen the right antibiotics are used based on the investigation re</w:t>
      </w:r>
      <w:r>
        <w:t xml:space="preserve">sults that point to a particular infection, the cost incurred will only be for that medication only. This is different from when a patient has to be given empirical antibiotics where the clinicians use all the possible medication to try and </w:t>
      </w:r>
      <w:r>
        <w:lastRenderedPageBreak/>
        <w:t>eradicate the m</w:t>
      </w:r>
      <w:r>
        <w:t>icroorganism. More than one antibiotics may have to be used until the right medication is known by observing patient response unlike in case of evidence-based practice where the medication is used for that particular infection</w:t>
      </w:r>
      <w:r w:rsidR="00DA2D72">
        <w:t xml:space="preserve"> (</w:t>
      </w:r>
      <w:r w:rsidR="00DA2D72">
        <w:rPr>
          <w:rFonts w:eastAsia="Times New Roman"/>
        </w:rPr>
        <w:t xml:space="preserve">Campbell, Umapathysivam, Xue &amp; Lockwood, </w:t>
      </w:r>
      <w:r w:rsidR="00DA2D72" w:rsidRPr="007B00A9">
        <w:rPr>
          <w:rFonts w:eastAsia="Times New Roman"/>
        </w:rPr>
        <w:t>2015)</w:t>
      </w:r>
      <w:r>
        <w:t xml:space="preserve">. The evidence-based practice use of the antibiotics will ensure that the right antibiotics are used hence only </w:t>
      </w:r>
      <w:r w:rsidR="00C778C3">
        <w:t xml:space="preserve">little is spent on medication. In addition, the use of infection specific antibiotics will </w:t>
      </w:r>
      <w:r>
        <w:t>ensure</w:t>
      </w:r>
      <w:r w:rsidR="00C778C3">
        <w:t xml:space="preserve"> that the patient recovers faster and avoids prolonged hospital stay</w:t>
      </w:r>
      <w:r>
        <w:t xml:space="preserve"> hence reducing the cost.</w:t>
      </w:r>
    </w:p>
    <w:p w14:paraId="4ABC7B12" w14:textId="77777777" w:rsidR="001009DF" w:rsidRDefault="00363836" w:rsidP="003965C0">
      <w:pPr>
        <w:ind w:firstLine="720"/>
      </w:pPr>
      <w:r>
        <w:t>The use of evidence-based practice reduces the variation that has been witnessed for a long time in regards to the delivery of care. Evidence-Based practice protocols are established th</w:t>
      </w:r>
      <w:r>
        <w:t>at guides healthcare provision making such a service standard in almost all geographical locations</w:t>
      </w:r>
      <w:r w:rsidR="00DA2D72">
        <w:t xml:space="preserve"> (</w:t>
      </w:r>
      <w:r w:rsidR="00DA2D72">
        <w:rPr>
          <w:rFonts w:eastAsia="Times New Roman"/>
        </w:rPr>
        <w:t xml:space="preserve">Campbell, Umapathysivam, Xue &amp; Lockwood, </w:t>
      </w:r>
      <w:r w:rsidR="00DA2D72" w:rsidRPr="007B00A9">
        <w:rPr>
          <w:rFonts w:eastAsia="Times New Roman"/>
        </w:rPr>
        <w:t>2015)</w:t>
      </w:r>
      <w:r>
        <w:t>. In antibiotics use, through evidence-based practice protocols have been established that investigation</w:t>
      </w:r>
      <w:r>
        <w:t xml:space="preserve"> has to be conducted before administration of antibiotics in order to establish the kind of infection the patient has hence directing the antibiotics to be used. Even the investigation for such procedures has been standardized in order to reduce variation </w:t>
      </w:r>
      <w:r>
        <w:t>on the care of the patient.</w:t>
      </w:r>
    </w:p>
    <w:p w14:paraId="1D59692C" w14:textId="77777777" w:rsidR="00D43E51" w:rsidRDefault="00363836" w:rsidP="003965C0">
      <w:pPr>
        <w:ind w:firstLine="720"/>
      </w:pPr>
      <w:r>
        <w:t>Evidence-based practice empowers the healthcare provider and improves job satisfaction. Through the practice, the health care provider knows what is needed before a procedure is done and the success rate for it. In a</w:t>
      </w:r>
      <w:r>
        <w:t xml:space="preserve">ntibiotics use, the </w:t>
      </w:r>
      <w:r w:rsidR="005E36B3">
        <w:t xml:space="preserve">healthcare provider is able to achieve better outcomes since they use the right medication for a particular infection after they have </w:t>
      </w:r>
      <w:r>
        <w:t>investigated it</w:t>
      </w:r>
      <w:r w:rsidR="00DA2D72">
        <w:t xml:space="preserve"> (</w:t>
      </w:r>
      <w:r w:rsidR="00DA2D72">
        <w:rPr>
          <w:rFonts w:eastAsia="Times New Roman"/>
        </w:rPr>
        <w:t xml:space="preserve">Brownson, Baker, Deshpande &amp; Gillespie, </w:t>
      </w:r>
      <w:r w:rsidR="00DA2D72" w:rsidRPr="007B00A9">
        <w:rPr>
          <w:rFonts w:eastAsia="Times New Roman"/>
        </w:rPr>
        <w:t>2017)</w:t>
      </w:r>
      <w:r>
        <w:t>. This boost career and role satisfactio</w:t>
      </w:r>
      <w:r>
        <w:t>n in healthcare provision. In addition, the healthcare provider is able to get the right tools for the work since the practice empowers them to ask for equipment so that they can provide the service as required.</w:t>
      </w:r>
    </w:p>
    <w:p w14:paraId="0A248D29" w14:textId="77777777" w:rsidR="006D732E" w:rsidRDefault="00363836" w:rsidP="003965C0">
      <w:pPr>
        <w:ind w:firstLine="720"/>
      </w:pPr>
      <w:r>
        <w:lastRenderedPageBreak/>
        <w:t>Evidence-based practice reduces healthcare p</w:t>
      </w:r>
      <w:r>
        <w:t>rovider turnover in a healthcare facility. This is due to the fact that a healthcare provider is able to do the right thing as it is guided by the protocols made for that particular procedures. They are therefore likely to succeed in their healthcare provi</w:t>
      </w:r>
      <w:r>
        <w:t>sion services to the patient hence</w:t>
      </w:r>
      <w:r>
        <w:t xml:space="preserve"> the management will not replace them. in addition, the practice facilitates them to provide high-quality healthcare services hence better outcomes which lead to job satisfaction in that particular facility. This will motivate them to continue working in t</w:t>
      </w:r>
      <w:r>
        <w:t>hat particular facility which reduces employee turnover due to frustrations in service delivery</w:t>
      </w:r>
      <w:r w:rsidR="00DA2D72">
        <w:t xml:space="preserve"> (</w:t>
      </w:r>
      <w:r w:rsidR="00DA2D72">
        <w:rPr>
          <w:rFonts w:eastAsia="Times New Roman"/>
        </w:rPr>
        <w:t xml:space="preserve">Dang &amp; Dearholt, </w:t>
      </w:r>
      <w:r w:rsidR="00DA2D72" w:rsidRPr="007B00A9">
        <w:rPr>
          <w:rFonts w:eastAsia="Times New Roman"/>
        </w:rPr>
        <w:t>2017)</w:t>
      </w:r>
      <w:r>
        <w:t>. In addition, the practice defines what the healthcare provider needs in order to provide a service which compels the management to e</w:t>
      </w:r>
      <w:r>
        <w:t>nsure such provision. This will boost good working conditions hence motivation healthcare worker to stick to that particular facility and this reduces provider turnover.</w:t>
      </w:r>
    </w:p>
    <w:p w14:paraId="3AE0D36A" w14:textId="77777777" w:rsidR="006D732E" w:rsidRDefault="00363836" w:rsidP="003965C0">
      <w:pPr>
        <w:ind w:firstLine="720"/>
      </w:pPr>
      <w:r>
        <w:t>Evidence-based practice provides the standards to be followed when providing hea</w:t>
      </w:r>
      <w:r>
        <w:t>lth care services to all people. This means that all the procedures that a patient receives are recognized and therefore insurance services are likely to pay for them. There are no disputes that arise due to the service provided to the patient and this wil</w:t>
      </w:r>
      <w:r>
        <w:t>l increase the reimbursements paid by third parties since they are seen as necessary and required</w:t>
      </w:r>
      <w:r w:rsidR="00DA2D72">
        <w:t xml:space="preserve"> (</w:t>
      </w:r>
      <w:r w:rsidR="00DA2D72">
        <w:rPr>
          <w:rFonts w:eastAsia="Times New Roman"/>
        </w:rPr>
        <w:t xml:space="preserve">White, Dudley-Brown &amp; Terhaar, </w:t>
      </w:r>
      <w:r w:rsidR="00DA2D72" w:rsidRPr="007B00A9">
        <w:rPr>
          <w:rFonts w:eastAsia="Times New Roman"/>
        </w:rPr>
        <w:t>2016)</w:t>
      </w:r>
      <w:r>
        <w:t>. The third parties pay the money needed after the patient receives the service without any delays or any legal bat</w:t>
      </w:r>
      <w:r>
        <w:t>tles. This too ensures that the three is a reduction of complications and payment denials by the insurance companies and other agencies. In fact, through evidence-based practice, the cost for all the services provided are known and hence they are paid with</w:t>
      </w:r>
      <w:r>
        <w:t xml:space="preserve"> no disputes as they have already been provided in the consumer list.</w:t>
      </w:r>
    </w:p>
    <w:p w14:paraId="26BAF03F" w14:textId="77777777" w:rsidR="00DB744B" w:rsidRDefault="00363836" w:rsidP="003965C0">
      <w:pPr>
        <w:ind w:firstLine="720"/>
      </w:pPr>
      <w:r>
        <w:t xml:space="preserve">Evidence-based practice promotes a common standard of practice for all healthcare providers in the health sector. This makes it possible for the public to be able to know </w:t>
      </w:r>
      <w:r>
        <w:t xml:space="preserve">what is </w:t>
      </w:r>
      <w:r>
        <w:lastRenderedPageBreak/>
        <w:t>required of a health care provider and the expectation by the public concerning that particular service</w:t>
      </w:r>
      <w:r w:rsidR="00DA2D72">
        <w:t xml:space="preserve"> (</w:t>
      </w:r>
      <w:r w:rsidR="00DA2D72">
        <w:rPr>
          <w:rFonts w:eastAsia="Times New Roman"/>
        </w:rPr>
        <w:t xml:space="preserve">Dang &amp; Dearholt, </w:t>
      </w:r>
      <w:r w:rsidR="00DA2D72" w:rsidRPr="007B00A9">
        <w:rPr>
          <w:rFonts w:eastAsia="Times New Roman"/>
        </w:rPr>
        <w:t>2017)</w:t>
      </w:r>
      <w:r>
        <w:t xml:space="preserve">. The practice, therefore, promotes </w:t>
      </w:r>
      <w:r w:rsidR="00E30CA8">
        <w:t>information dissemination to the public on what to expect from the health care provider for a certain specific service. This will hence promote the expectation of the informed public concerning healthcare.</w:t>
      </w:r>
    </w:p>
    <w:p w14:paraId="72DA4ACD" w14:textId="77777777" w:rsidR="00050B14" w:rsidRDefault="00050B14" w:rsidP="007B00A9"/>
    <w:p w14:paraId="3B7480D3" w14:textId="77777777" w:rsidR="00050B14" w:rsidRDefault="00050B14" w:rsidP="007B00A9"/>
    <w:p w14:paraId="7F7EFD49" w14:textId="77777777" w:rsidR="00050B14" w:rsidRDefault="00050B14" w:rsidP="007B00A9"/>
    <w:p w14:paraId="45C7C32B" w14:textId="77777777" w:rsidR="00050B14" w:rsidRDefault="00050B14" w:rsidP="007B00A9"/>
    <w:p w14:paraId="1B9726F5" w14:textId="77777777" w:rsidR="00050B14" w:rsidRDefault="00050B14" w:rsidP="007B00A9"/>
    <w:p w14:paraId="10BE52C8" w14:textId="77777777" w:rsidR="00050B14" w:rsidRDefault="00050B14" w:rsidP="007B00A9"/>
    <w:p w14:paraId="707A8AF6" w14:textId="77777777" w:rsidR="00050B14" w:rsidRDefault="00050B14" w:rsidP="007B00A9"/>
    <w:p w14:paraId="2831E413" w14:textId="77777777" w:rsidR="00050B14" w:rsidRDefault="00050B14" w:rsidP="007B00A9"/>
    <w:p w14:paraId="1D07652D" w14:textId="77777777" w:rsidR="00050B14" w:rsidRDefault="00050B14" w:rsidP="007B00A9"/>
    <w:p w14:paraId="3FC132A2" w14:textId="77777777" w:rsidR="00050B14" w:rsidRDefault="00050B14" w:rsidP="007B00A9"/>
    <w:p w14:paraId="71C04F09" w14:textId="77777777" w:rsidR="00050B14" w:rsidRDefault="00050B14" w:rsidP="007B00A9"/>
    <w:p w14:paraId="79A4F278" w14:textId="77777777" w:rsidR="00050B14" w:rsidRDefault="00050B14" w:rsidP="007B00A9"/>
    <w:p w14:paraId="47F6DC81" w14:textId="77777777" w:rsidR="00050B14" w:rsidRDefault="00050B14" w:rsidP="007B00A9"/>
    <w:p w14:paraId="647624E4" w14:textId="77777777" w:rsidR="00050B14" w:rsidRDefault="00050B14" w:rsidP="007B00A9"/>
    <w:p w14:paraId="23722B7A" w14:textId="77777777" w:rsidR="00050B14" w:rsidRDefault="00050B14" w:rsidP="007B00A9"/>
    <w:p w14:paraId="6DFAA954" w14:textId="77777777" w:rsidR="00050B14" w:rsidRDefault="00050B14" w:rsidP="007B00A9"/>
    <w:p w14:paraId="443EFCB1" w14:textId="77777777" w:rsidR="00050B14" w:rsidRDefault="00050B14" w:rsidP="007B00A9"/>
    <w:p w14:paraId="3F70F1D6" w14:textId="77777777" w:rsidR="00050B14" w:rsidRDefault="00050B14" w:rsidP="007B00A9"/>
    <w:p w14:paraId="1831C7CB" w14:textId="77777777" w:rsidR="00050B14" w:rsidRDefault="00050B14" w:rsidP="007B00A9"/>
    <w:p w14:paraId="082F020F" w14:textId="77777777" w:rsidR="00E30CA8" w:rsidRDefault="00363836" w:rsidP="00050B14">
      <w:pPr>
        <w:jc w:val="center"/>
      </w:pPr>
      <w:r>
        <w:lastRenderedPageBreak/>
        <w:t>References</w:t>
      </w:r>
    </w:p>
    <w:p w14:paraId="2E6CF553" w14:textId="77777777" w:rsidR="00050B14" w:rsidRPr="007B00A9" w:rsidRDefault="00050B14" w:rsidP="00050B14">
      <w:pPr>
        <w:ind w:left="720" w:hanging="720"/>
        <w:rPr>
          <w:rFonts w:eastAsia="Times New Roman"/>
        </w:rPr>
      </w:pPr>
      <w:r w:rsidRPr="007B00A9">
        <w:rPr>
          <w:rFonts w:eastAsia="Times New Roman"/>
        </w:rPr>
        <w:t xml:space="preserve">Brownson, R. C., Baker, E. A., Deshpande, A. D., &amp; Gillespie, K. N. (2017). </w:t>
      </w:r>
      <w:r w:rsidRPr="007B00A9">
        <w:rPr>
          <w:rFonts w:eastAsia="Times New Roman"/>
          <w:i/>
          <w:iCs/>
        </w:rPr>
        <w:t>Evidence-based public health</w:t>
      </w:r>
      <w:r w:rsidRPr="007B00A9">
        <w:rPr>
          <w:rFonts w:eastAsia="Times New Roman"/>
        </w:rPr>
        <w:t>. Oxford university press.</w:t>
      </w:r>
    </w:p>
    <w:p w14:paraId="250C332B" w14:textId="77777777" w:rsidR="00050B14" w:rsidRPr="007B00A9" w:rsidRDefault="00050B14" w:rsidP="00050B14">
      <w:pPr>
        <w:ind w:left="720" w:hanging="720"/>
        <w:rPr>
          <w:rFonts w:eastAsia="Times New Roman"/>
        </w:rPr>
      </w:pPr>
      <w:r w:rsidRPr="007B00A9">
        <w:rPr>
          <w:rFonts w:eastAsia="Times New Roman"/>
        </w:rPr>
        <w:t xml:space="preserve">Campbell, J. M., Umapathysivam, K., Xue, Y., &amp; Lockwood, C. (2015). Evidence‐Based Practice Point‐of‐Care </w:t>
      </w:r>
      <w:bookmarkStart w:id="0" w:name="_GoBack"/>
      <w:bookmarkEnd w:id="0"/>
      <w:r w:rsidRPr="007B00A9">
        <w:rPr>
          <w:rFonts w:eastAsia="Times New Roman"/>
        </w:rPr>
        <w:t xml:space="preserve">Resources: A Quantitative Evaluation of Quality, Rigor, and Content. </w:t>
      </w:r>
      <w:r w:rsidRPr="007B00A9">
        <w:rPr>
          <w:rFonts w:eastAsia="Times New Roman"/>
          <w:i/>
          <w:iCs/>
        </w:rPr>
        <w:t>Worldviews on Evidence‐Based Nursing</w:t>
      </w:r>
      <w:r w:rsidRPr="007B00A9">
        <w:rPr>
          <w:rFonts w:eastAsia="Times New Roman"/>
        </w:rPr>
        <w:t xml:space="preserve">, </w:t>
      </w:r>
      <w:r w:rsidRPr="007B00A9">
        <w:rPr>
          <w:rFonts w:eastAsia="Times New Roman"/>
          <w:i/>
          <w:iCs/>
        </w:rPr>
        <w:t>12</w:t>
      </w:r>
      <w:r w:rsidRPr="007B00A9">
        <w:rPr>
          <w:rFonts w:eastAsia="Times New Roman"/>
        </w:rPr>
        <w:t>(6), 313-327.</w:t>
      </w:r>
    </w:p>
    <w:p w14:paraId="6013AD12" w14:textId="77777777" w:rsidR="00050B14" w:rsidRPr="007B00A9" w:rsidRDefault="00050B14" w:rsidP="00050B14">
      <w:pPr>
        <w:ind w:left="720" w:hanging="720"/>
        <w:rPr>
          <w:rFonts w:eastAsia="Times New Roman"/>
        </w:rPr>
      </w:pPr>
      <w:r w:rsidRPr="007B00A9">
        <w:rPr>
          <w:rFonts w:eastAsia="Times New Roman"/>
        </w:rPr>
        <w:t xml:space="preserve">Dang, D., &amp; Dearholt, S. L. (2017). </w:t>
      </w:r>
      <w:r w:rsidRPr="007B00A9">
        <w:rPr>
          <w:rFonts w:eastAsia="Times New Roman"/>
          <w:i/>
          <w:iCs/>
        </w:rPr>
        <w:t>Johns Hopkins nursing evidence-based practice: Model and guidelines</w:t>
      </w:r>
      <w:r w:rsidRPr="007B00A9">
        <w:rPr>
          <w:rFonts w:eastAsia="Times New Roman"/>
        </w:rPr>
        <w:t>. Sigma Theta Tau.</w:t>
      </w:r>
    </w:p>
    <w:p w14:paraId="6DE36B12" w14:textId="77777777" w:rsidR="00050B14" w:rsidRPr="007B00A9" w:rsidRDefault="00050B14" w:rsidP="00050B14">
      <w:pPr>
        <w:ind w:left="720" w:hanging="720"/>
        <w:rPr>
          <w:rFonts w:eastAsia="Times New Roman"/>
        </w:rPr>
      </w:pPr>
      <w:r w:rsidRPr="007B00A9">
        <w:rPr>
          <w:rFonts w:eastAsia="Times New Roman"/>
        </w:rPr>
        <w:t xml:space="preserve">White, K. M., Dudley-Brown, S., &amp; Terhaar, M. F. (Eds.). (2016). </w:t>
      </w:r>
      <w:r w:rsidRPr="007B00A9">
        <w:rPr>
          <w:rFonts w:eastAsia="Times New Roman"/>
          <w:i/>
          <w:iCs/>
        </w:rPr>
        <w:t>Translation of evidence into nursing and health care</w:t>
      </w:r>
      <w:r w:rsidRPr="007B00A9">
        <w:rPr>
          <w:rFonts w:eastAsia="Times New Roman"/>
        </w:rPr>
        <w:t>. Springer Publishing Company.</w:t>
      </w:r>
    </w:p>
    <w:p w14:paraId="0388EAA4" w14:textId="77777777" w:rsidR="007B00A9" w:rsidRDefault="007B00A9" w:rsidP="007B00A9"/>
    <w:p w14:paraId="369E5618" w14:textId="77777777" w:rsidR="00DB744B" w:rsidRDefault="00DB744B" w:rsidP="003965C0">
      <w:pPr>
        <w:ind w:firstLine="720"/>
      </w:pPr>
    </w:p>
    <w:p w14:paraId="73599941" w14:textId="77777777" w:rsidR="003965C0" w:rsidRDefault="00363836" w:rsidP="003965C0">
      <w:pPr>
        <w:ind w:firstLine="720"/>
      </w:pPr>
      <w:r>
        <w:t xml:space="preserve"> </w:t>
      </w:r>
      <w:r w:rsidR="001009DF">
        <w:t xml:space="preserve"> </w:t>
      </w:r>
    </w:p>
    <w:p w14:paraId="4F5937D7" w14:textId="77777777" w:rsidR="003965C0" w:rsidRDefault="003965C0"/>
    <w:sectPr w:rsidR="003965C0" w:rsidSect="00AC6AC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795A70" w14:textId="77777777" w:rsidR="00363836" w:rsidRDefault="00363836">
      <w:pPr>
        <w:spacing w:line="240" w:lineRule="auto"/>
      </w:pPr>
      <w:r>
        <w:separator/>
      </w:r>
    </w:p>
  </w:endnote>
  <w:endnote w:type="continuationSeparator" w:id="0">
    <w:p w14:paraId="39AB95C7" w14:textId="77777777" w:rsidR="00363836" w:rsidRDefault="003638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D44956" w14:textId="77777777" w:rsidR="00363836" w:rsidRDefault="00363836">
      <w:pPr>
        <w:spacing w:line="240" w:lineRule="auto"/>
      </w:pPr>
      <w:r>
        <w:separator/>
      </w:r>
    </w:p>
  </w:footnote>
  <w:footnote w:type="continuationSeparator" w:id="0">
    <w:p w14:paraId="12A37B05" w14:textId="77777777" w:rsidR="00363836" w:rsidRDefault="0036383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781C5B" w14:textId="77777777" w:rsidR="00AC6ACC" w:rsidRDefault="00363836">
    <w:pPr>
      <w:pStyle w:val="Header"/>
      <w:jc w:val="right"/>
    </w:pPr>
    <w:r>
      <w:t xml:space="preserve">TRANSLATING EVIDENCE INTO CLINICAL PRACTICE                                                      </w:t>
    </w:r>
    <w:sdt>
      <w:sdtPr>
        <w:id w:val="19222908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50B14">
          <w:rPr>
            <w:noProof/>
          </w:rPr>
          <w:t>6</w:t>
        </w:r>
        <w:r>
          <w:rPr>
            <w:noProof/>
          </w:rPr>
          <w:fldChar w:fldCharType="end"/>
        </w:r>
      </w:sdtContent>
    </w:sdt>
  </w:p>
  <w:p w14:paraId="2DE49F15" w14:textId="77777777" w:rsidR="00AC6ACC" w:rsidRDefault="00AC6A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A0C7C8" w14:textId="77777777" w:rsidR="00AC6ACC" w:rsidRDefault="00363836" w:rsidP="00AC6ACC">
    <w:r>
      <w:t xml:space="preserve">Running head: TRANSLATING EVIDENCE INTO CLINICAL PRACTICE                              </w:t>
    </w:r>
    <w:sdt>
      <w:sdtPr>
        <w:id w:val="-8788588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50B14">
          <w:rPr>
            <w:noProof/>
          </w:rPr>
          <w:t>1</w:t>
        </w:r>
        <w:r>
          <w:rPr>
            <w:noProof/>
          </w:rPr>
          <w:fldChar w:fldCharType="end"/>
        </w:r>
      </w:sdtContent>
    </w:sdt>
  </w:p>
  <w:p w14:paraId="2D1D2D88" w14:textId="77777777" w:rsidR="00AC6ACC" w:rsidRDefault="00AC6A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285"/>
    <w:rsid w:val="00050B14"/>
    <w:rsid w:val="001009DF"/>
    <w:rsid w:val="001D2846"/>
    <w:rsid w:val="00363836"/>
    <w:rsid w:val="003965C0"/>
    <w:rsid w:val="00410DCB"/>
    <w:rsid w:val="005E36B3"/>
    <w:rsid w:val="00676C14"/>
    <w:rsid w:val="006D4285"/>
    <w:rsid w:val="006D732E"/>
    <w:rsid w:val="007B00A9"/>
    <w:rsid w:val="0097024A"/>
    <w:rsid w:val="009779B8"/>
    <w:rsid w:val="00AC6ACC"/>
    <w:rsid w:val="00C778C3"/>
    <w:rsid w:val="00D43E51"/>
    <w:rsid w:val="00DA2D72"/>
    <w:rsid w:val="00DB744B"/>
    <w:rsid w:val="00E30C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9E5CF8-1B8B-4AC9-8BC3-DF9D23272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6ACC"/>
    <w:pPr>
      <w:tabs>
        <w:tab w:val="center" w:pos="4680"/>
        <w:tab w:val="right" w:pos="9360"/>
      </w:tabs>
      <w:spacing w:line="240" w:lineRule="auto"/>
    </w:pPr>
  </w:style>
  <w:style w:type="character" w:customStyle="1" w:styleId="HeaderChar">
    <w:name w:val="Header Char"/>
    <w:basedOn w:val="DefaultParagraphFont"/>
    <w:link w:val="Header"/>
    <w:uiPriority w:val="99"/>
    <w:rsid w:val="00AC6ACC"/>
  </w:style>
  <w:style w:type="paragraph" w:styleId="Footer">
    <w:name w:val="footer"/>
    <w:basedOn w:val="Normal"/>
    <w:link w:val="FooterChar"/>
    <w:uiPriority w:val="99"/>
    <w:unhideWhenUsed/>
    <w:rsid w:val="00AC6ACC"/>
    <w:pPr>
      <w:tabs>
        <w:tab w:val="center" w:pos="4680"/>
        <w:tab w:val="right" w:pos="9360"/>
      </w:tabs>
      <w:spacing w:line="240" w:lineRule="auto"/>
    </w:pPr>
  </w:style>
  <w:style w:type="character" w:customStyle="1" w:styleId="FooterChar">
    <w:name w:val="Footer Char"/>
    <w:basedOn w:val="DefaultParagraphFont"/>
    <w:link w:val="Footer"/>
    <w:uiPriority w:val="99"/>
    <w:rsid w:val="00AC6ACC"/>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10D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0DC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10DCB"/>
    <w:rPr>
      <w:b/>
      <w:bCs/>
    </w:rPr>
  </w:style>
  <w:style w:type="character" w:customStyle="1" w:styleId="CommentSubjectChar">
    <w:name w:val="Comment Subject Char"/>
    <w:basedOn w:val="CommentTextChar"/>
    <w:link w:val="CommentSubject"/>
    <w:uiPriority w:val="99"/>
    <w:semiHidden/>
    <w:rsid w:val="00410DC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1068</Words>
  <Characters>6092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2018-07-28T12:45:00Z</dcterms:created>
  <dcterms:modified xsi:type="dcterms:W3CDTF">2018-07-28T12:46:00Z</dcterms:modified>
</cp:coreProperties>
</file>